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  <w:r w:rsidR="00D0696D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5776FC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5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C00104068N01      STATE PROJ NUM:  U000-103-232, N501            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-5103(116)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H16                                                         DATE 01/20/15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|0010 | 00100|MOBILIZATION           |            1|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|513         |                       | LS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|0020 | 00120|REGULAR EXCAVATION     |       556.00|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|0030 | 00505|BEDDING MATL.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        |         2.00|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|------------|AGGR.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NO. 25 OR 26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|302         |                       | TON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|0040 | 01182|18" CONC. PIPE         |       104.00|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|302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|0050 | 09065|MANHOLE                |         3.00|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|------------|B-1 PRECAST BASE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UNIT  |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|302 /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PLAN  |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3X3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lastRenderedPageBreak/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|0060 | 10128|AGGR.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BASE MATL.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TY.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I |       183.00|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|------------|NO.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21B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|308 309     |                       | TON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|0070 | 10607|ASPHALT CONCRETE       |        34.00|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|------------|TY.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SM-12.5A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|315         |                       | TON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|0080 | 10642|ASPHALT CONCRETE       |       135.00|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|------------|TY.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BM-25.0A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|315         |                       | TON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|0090 | 11070|SAW-CUT ASPH CONC      |       340.00|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|------------|DEPTH: 8"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|0100 | 12020|STD. CURB CG-2         |       204.00|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|0110 | 12600|STD. COMB.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CURB        |       538.00|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C00104068N01      STATE PROJ NUM:  U000-103-232, N501            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-5103(116)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H16                                                         DATE 01/20/15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|0120 | 12800|STD. GUTTER CG-8       |         2.00|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|0130 | 12940|ENTRANCE GUTTER CG-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9D  |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       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|0140 | 13108|CG-12 DETECTABLE       |        26.00|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|------------|WARNING SURFACE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|0150 | 13114|ENTRANCE GUTTER CG-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13  |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      62.00|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|0160 | 13220|HYDRAULIC CEMENT CONC. |      2026.00|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|------------|SIDEWALK 4"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|504         |                       | SY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|0170 | 13245|SIDEWALK               |       356.00|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|------------|REMOVE EXISTING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|510         |                       | SY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|0180 | 14120|REMOVAL OF COMB.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CURB  |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     974.00|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|------------|AND GUTTER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|ATTD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|0190 | 14440|SAW CUT SIDEWALK       |       296.00|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lastRenderedPageBreak/>
        <w:t xml:space="preserve">               |ATTD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|0200 | 24160|CONSTRUCTION SIGNS     |       786.00|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|0210 | 24278|GROUP 2 CHANNELIZING   |       675.00|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|0220 | 24282|FLAGGER SERVICE        |       720.00|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|0230 | 27030|TOPSOIL                |        75.00|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|------------|TYPE B, 2"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|605         |                       | CY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 C00104068N01      STATE PROJ NUM:  U000-103-232, N501            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-5103(116)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H16                                                         DATE 01/20/15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|0240 | 27102|REGULAR SEED           |        40.00|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|0250 | 27215|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>15-30-15)   |         0.13|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|0260 | 27250|LIME                   |         0.21|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|0270 | 27461|INLET PROTECTION       |         3.00|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|------------|TYPE B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|0280 | 27505|TEMP.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SILT FENCE       |      2200.00|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|0290 | 50108|SIGN PANEL             |        56.00|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|701         |                       | SF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|0300 | 50434|SIGN POST              |        72.00|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|------------|STP-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1  2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1/2"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|0310 | 50490|CONCRETE FOUNDATION    |         7.00|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|------------|STP-1     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|0320 | 54020|TYPE A PAVEMENT LINE   |       125.00|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|------------|MARKING 4"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|704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|0330 | 54022|TYPE A PAVEMENT LINE   |       380.00|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|------------|MARKING 6" 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|704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lastRenderedPageBreak/>
        <w:t xml:space="preserve">               |0340 | 54026|TYPE A PAVEMENT LINE   |       220.00|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|------------|MARKING 12"            |-------------|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|704         |                       | LF          |         |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5776FC">
        <w:rPr>
          <w:rFonts w:ascii="Courier New" w:hAnsi="Courier New" w:cs="Courier New"/>
          <w:sz w:val="18"/>
          <w:szCs w:val="18"/>
        </w:rPr>
        <w:t>0001  REGULAR</w:t>
      </w:r>
      <w:proofErr w:type="gramEnd"/>
      <w:r w:rsidRPr="005776FC">
        <w:rPr>
          <w:rFonts w:ascii="Courier New" w:hAnsi="Courier New" w:cs="Courier New"/>
          <w:sz w:val="18"/>
          <w:szCs w:val="18"/>
        </w:rPr>
        <w:t xml:space="preserve"> BID ITEMS 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5776FC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DB3090" w:rsidRPr="005776FC" w:rsidRDefault="005776FC" w:rsidP="005776FC">
      <w:pPr>
        <w:pStyle w:val="PlainText"/>
        <w:rPr>
          <w:rFonts w:ascii="Courier New" w:hAnsi="Courier New" w:cs="Courier New"/>
          <w:sz w:val="18"/>
          <w:szCs w:val="18"/>
        </w:rPr>
      </w:pPr>
      <w:r w:rsidRPr="005776F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5776FC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0F"/>
    <w:rsid w:val="00012DE7"/>
    <w:rsid w:val="00031444"/>
    <w:rsid w:val="000E6BBA"/>
    <w:rsid w:val="00403B5C"/>
    <w:rsid w:val="004A1A0F"/>
    <w:rsid w:val="004B4695"/>
    <w:rsid w:val="004F03E7"/>
    <w:rsid w:val="005776FC"/>
    <w:rsid w:val="00682AF4"/>
    <w:rsid w:val="007217A3"/>
    <w:rsid w:val="008A0CF3"/>
    <w:rsid w:val="008D7CF1"/>
    <w:rsid w:val="009406A7"/>
    <w:rsid w:val="009B2080"/>
    <w:rsid w:val="00A95FBB"/>
    <w:rsid w:val="00C45812"/>
    <w:rsid w:val="00C938BD"/>
    <w:rsid w:val="00D0696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giniadot.org/business/small_business_enterprise_progra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2015-01-20T20:16:00Z</dcterms:created>
  <dcterms:modified xsi:type="dcterms:W3CDTF">2015-01-20T20:16:00Z</dcterms:modified>
</cp:coreProperties>
</file>